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61C91" w14:textId="0D4CB9F2" w:rsidR="00CA6C05" w:rsidRDefault="00CA6C05" w:rsidP="00EF320F">
      <w:pPr>
        <w:pStyle w:val="NormalWeb"/>
        <w:spacing w:before="264" w:beforeAutospacing="0" w:after="264" w:afterAutospacing="0"/>
        <w:rPr>
          <w:b/>
          <w:bCs/>
          <w:color w:val="252525"/>
          <w:sz w:val="28"/>
          <w:szCs w:val="28"/>
        </w:rPr>
      </w:pPr>
      <w:r w:rsidRPr="001F0C60">
        <w:rPr>
          <w:b/>
          <w:bCs/>
        </w:rPr>
        <w:t>Abstract:</w:t>
      </w:r>
      <w:r>
        <w:rPr>
          <w:b/>
          <w:bCs/>
        </w:rPr>
        <w:t xml:space="preserve">   </w:t>
      </w:r>
      <w:r>
        <w:rPr>
          <w:color w:val="252525"/>
        </w:rPr>
        <w:t xml:space="preserve">Like most business owners, you’ve probably heard about </w:t>
      </w:r>
      <w:r w:rsidRPr="00547029">
        <w:rPr>
          <w:color w:val="252525"/>
        </w:rPr>
        <w:t>100% bonus depreciation</w:t>
      </w:r>
      <w:r>
        <w:rPr>
          <w:color w:val="252525"/>
        </w:rPr>
        <w:t xml:space="preserve">. It’s </w:t>
      </w:r>
      <w:r w:rsidRPr="00547029">
        <w:rPr>
          <w:color w:val="252525"/>
        </w:rPr>
        <w:t xml:space="preserve">available for a wide </w:t>
      </w:r>
      <w:r>
        <w:rPr>
          <w:color w:val="252525"/>
        </w:rPr>
        <w:t>range</w:t>
      </w:r>
      <w:r w:rsidRPr="00547029">
        <w:rPr>
          <w:color w:val="252525"/>
        </w:rPr>
        <w:t xml:space="preserve"> of qualifying </w:t>
      </w:r>
      <w:r>
        <w:rPr>
          <w:color w:val="252525"/>
        </w:rPr>
        <w:t>asset purchases</w:t>
      </w:r>
      <w:r w:rsidRPr="00547029">
        <w:rPr>
          <w:color w:val="252525"/>
        </w:rPr>
        <w:t xml:space="preserve">. </w:t>
      </w:r>
      <w:r>
        <w:rPr>
          <w:color w:val="252525"/>
        </w:rPr>
        <w:t xml:space="preserve">But there are many important details to keep straight. This article presents five key points about this </w:t>
      </w:r>
      <w:r w:rsidRPr="00547029">
        <w:rPr>
          <w:color w:val="252525"/>
        </w:rPr>
        <w:t>powerful tax-saving tool</w:t>
      </w:r>
      <w:r>
        <w:rPr>
          <w:color w:val="252525"/>
        </w:rPr>
        <w:t>.</w:t>
      </w:r>
    </w:p>
    <w:p w14:paraId="743BF711" w14:textId="5FE43F1D" w:rsidR="00EF320F" w:rsidRDefault="001F0C60" w:rsidP="00EF320F">
      <w:pPr>
        <w:pStyle w:val="NormalWeb"/>
        <w:spacing w:before="264" w:beforeAutospacing="0" w:after="264" w:afterAutospacing="0"/>
        <w:rPr>
          <w:color w:val="252525"/>
        </w:rPr>
      </w:pPr>
      <w:r w:rsidRPr="001F0C60">
        <w:rPr>
          <w:b/>
          <w:bCs/>
          <w:color w:val="252525"/>
          <w:sz w:val="28"/>
          <w:szCs w:val="28"/>
        </w:rPr>
        <w:t>5 key points about bonus depreciation</w:t>
      </w:r>
    </w:p>
    <w:p w14:paraId="75D093B6" w14:textId="069E5EA4" w:rsidR="00EF320F" w:rsidRPr="00547029" w:rsidRDefault="001F0C60" w:rsidP="00EF320F">
      <w:pPr>
        <w:pStyle w:val="NormalWeb"/>
        <w:spacing w:before="264" w:beforeAutospacing="0" w:after="264" w:afterAutospacing="0"/>
        <w:rPr>
          <w:color w:val="252525"/>
        </w:rPr>
      </w:pPr>
      <w:r>
        <w:rPr>
          <w:color w:val="252525"/>
        </w:rPr>
        <w:t xml:space="preserve">Like most business owners, you’ve probably heard about </w:t>
      </w:r>
      <w:r w:rsidR="00EF320F" w:rsidRPr="00547029">
        <w:rPr>
          <w:color w:val="252525"/>
        </w:rPr>
        <w:t>100% bonus depreciation</w:t>
      </w:r>
      <w:r w:rsidR="00EE5A02">
        <w:rPr>
          <w:color w:val="252525"/>
        </w:rPr>
        <w:t xml:space="preserve">. It’s </w:t>
      </w:r>
      <w:r w:rsidR="00EF320F" w:rsidRPr="00547029">
        <w:rPr>
          <w:color w:val="252525"/>
        </w:rPr>
        <w:t xml:space="preserve">available for a wide </w:t>
      </w:r>
      <w:r w:rsidR="00EF320F">
        <w:rPr>
          <w:color w:val="252525"/>
        </w:rPr>
        <w:t>range</w:t>
      </w:r>
      <w:r w:rsidR="00EF320F" w:rsidRPr="00547029">
        <w:rPr>
          <w:color w:val="252525"/>
        </w:rPr>
        <w:t xml:space="preserve"> of qualifying </w:t>
      </w:r>
      <w:r w:rsidR="00EE5A02">
        <w:rPr>
          <w:color w:val="252525"/>
        </w:rPr>
        <w:t xml:space="preserve">asset purchases. </w:t>
      </w:r>
      <w:r w:rsidR="00CA1957">
        <w:rPr>
          <w:color w:val="252525"/>
        </w:rPr>
        <w:t xml:space="preserve">But there are many important details to keep </w:t>
      </w:r>
      <w:r w:rsidR="00053ABF">
        <w:rPr>
          <w:color w:val="252525"/>
        </w:rPr>
        <w:t xml:space="preserve">straight. </w:t>
      </w:r>
      <w:r w:rsidR="00CA1957">
        <w:rPr>
          <w:color w:val="252525"/>
        </w:rPr>
        <w:t xml:space="preserve">Here are five key points about this </w:t>
      </w:r>
      <w:r w:rsidR="00EF320F" w:rsidRPr="00547029">
        <w:rPr>
          <w:color w:val="252525"/>
        </w:rPr>
        <w:t>powerful tax-saving tool</w:t>
      </w:r>
      <w:r w:rsidR="00CA1957">
        <w:rPr>
          <w:color w:val="252525"/>
        </w:rPr>
        <w:t>:</w:t>
      </w:r>
    </w:p>
    <w:p w14:paraId="1DD34FAE" w14:textId="630AD961" w:rsidR="00EF320F" w:rsidRPr="00CA1957" w:rsidRDefault="00EF320F" w:rsidP="00EF320F">
      <w:pPr>
        <w:pStyle w:val="NormalWeb"/>
        <w:spacing w:before="264" w:beforeAutospacing="0" w:after="264" w:afterAutospacing="0"/>
        <w:rPr>
          <w:b/>
          <w:bCs/>
          <w:color w:val="252525"/>
        </w:rPr>
      </w:pPr>
      <w:r w:rsidRPr="00A10792">
        <w:rPr>
          <w:rStyle w:val="c-doc-para-italic"/>
          <w:b/>
          <w:bCs/>
          <w:color w:val="252525"/>
        </w:rPr>
        <w:t xml:space="preserve">1. </w:t>
      </w:r>
      <w:r w:rsidR="00CA1957">
        <w:rPr>
          <w:rStyle w:val="c-doc-para-italic"/>
          <w:b/>
          <w:bCs/>
          <w:color w:val="252525"/>
        </w:rPr>
        <w:t xml:space="preserve">It’s </w:t>
      </w:r>
      <w:r w:rsidRPr="00A10792">
        <w:rPr>
          <w:rStyle w:val="c-doc-para-italic"/>
          <w:b/>
          <w:bCs/>
          <w:color w:val="252525"/>
        </w:rPr>
        <w:t xml:space="preserve">scheduled </w:t>
      </w:r>
      <w:r>
        <w:rPr>
          <w:rStyle w:val="c-doc-para-italic"/>
          <w:b/>
          <w:bCs/>
          <w:color w:val="252525"/>
        </w:rPr>
        <w:t>to</w:t>
      </w:r>
      <w:r w:rsidRPr="00A10792">
        <w:rPr>
          <w:rStyle w:val="c-doc-para-italic"/>
          <w:b/>
          <w:bCs/>
          <w:color w:val="252525"/>
        </w:rPr>
        <w:t xml:space="preserve"> phase out</w:t>
      </w:r>
      <w:r w:rsidR="00CA1957">
        <w:rPr>
          <w:b/>
          <w:bCs/>
          <w:color w:val="252525"/>
        </w:rPr>
        <w:t xml:space="preserve">. </w:t>
      </w:r>
      <w:r w:rsidRPr="00547029">
        <w:rPr>
          <w:color w:val="252525"/>
        </w:rPr>
        <w:t xml:space="preserve">Under current law, </w:t>
      </w:r>
      <w:r>
        <w:rPr>
          <w:color w:val="252525"/>
        </w:rPr>
        <w:t xml:space="preserve">100% </w:t>
      </w:r>
      <w:r w:rsidRPr="00547029">
        <w:rPr>
          <w:color w:val="252525"/>
        </w:rPr>
        <w:t xml:space="preserve">bonus depreciation will be phased out in steps for property placed in service in calendar years 2023 through 2027. Thus, an 80% rate will apply to property placed in service in 2023, 60% in 2024, 40% in 2025, and 20% in 2026, and a 0% rate will apply in 2027 and later years. </w:t>
      </w:r>
    </w:p>
    <w:p w14:paraId="16F145B5" w14:textId="6032BB17" w:rsidR="00EF320F" w:rsidRPr="00547029" w:rsidRDefault="00EF320F" w:rsidP="00EF320F">
      <w:pPr>
        <w:pStyle w:val="NormalWeb"/>
        <w:spacing w:before="264" w:beforeAutospacing="0" w:after="264" w:afterAutospacing="0"/>
        <w:rPr>
          <w:color w:val="252525"/>
        </w:rPr>
      </w:pPr>
      <w:r w:rsidRPr="00547029">
        <w:rPr>
          <w:color w:val="252525"/>
        </w:rPr>
        <w:t xml:space="preserve">For </w:t>
      </w:r>
      <w:r w:rsidR="00BE3895">
        <w:rPr>
          <w:color w:val="252525"/>
        </w:rPr>
        <w:t>some</w:t>
      </w:r>
      <w:r w:rsidR="00BE3895" w:rsidRPr="00547029">
        <w:rPr>
          <w:color w:val="252525"/>
        </w:rPr>
        <w:t xml:space="preserve"> </w:t>
      </w:r>
      <w:r w:rsidRPr="00547029">
        <w:rPr>
          <w:color w:val="252525"/>
        </w:rPr>
        <w:t>aircraft (generally, company planes) and for the pre-January 1, 2027</w:t>
      </w:r>
      <w:r w:rsidR="00BE3895">
        <w:rPr>
          <w:color w:val="252525"/>
        </w:rPr>
        <w:t>,</w:t>
      </w:r>
      <w:r w:rsidRPr="00547029">
        <w:rPr>
          <w:color w:val="252525"/>
        </w:rPr>
        <w:t xml:space="preserve"> costs of certain property with a long production period, the phaseout is scheduled to take place a year later, from 2024 to 2028.</w:t>
      </w:r>
      <w:r w:rsidR="00CA1957">
        <w:rPr>
          <w:color w:val="252525"/>
        </w:rPr>
        <w:t xml:space="preserve"> </w:t>
      </w:r>
      <w:r w:rsidRPr="00547029">
        <w:rPr>
          <w:color w:val="252525"/>
        </w:rPr>
        <w:t>Of course, Congress could pass legislation to extend or revise the above rules.</w:t>
      </w:r>
    </w:p>
    <w:p w14:paraId="5569B14A" w14:textId="5E39C72B" w:rsidR="00EF320F" w:rsidRPr="00547029" w:rsidRDefault="00EF320F" w:rsidP="00CA1957">
      <w:pPr>
        <w:pStyle w:val="NormalWeb"/>
        <w:spacing w:before="264" w:beforeAutospacing="0" w:after="264" w:afterAutospacing="0"/>
        <w:rPr>
          <w:color w:val="252525"/>
        </w:rPr>
      </w:pPr>
      <w:r w:rsidRPr="00A10792">
        <w:rPr>
          <w:rStyle w:val="c-doc-para-italic"/>
          <w:b/>
          <w:bCs/>
          <w:color w:val="252525"/>
        </w:rPr>
        <w:t>2. Bonus depreciation is available for new and most used property</w:t>
      </w:r>
      <w:r w:rsidR="00CA1957">
        <w:rPr>
          <w:rStyle w:val="c-doc-para-italic"/>
          <w:b/>
          <w:bCs/>
          <w:color w:val="252525"/>
        </w:rPr>
        <w:t xml:space="preserve">. </w:t>
      </w:r>
      <w:r>
        <w:rPr>
          <w:color w:val="252525"/>
        </w:rPr>
        <w:t>In the past, u</w:t>
      </w:r>
      <w:r w:rsidRPr="00547029">
        <w:rPr>
          <w:color w:val="252525"/>
        </w:rPr>
        <w:t xml:space="preserve">sed property </w:t>
      </w:r>
      <w:r>
        <w:rPr>
          <w:color w:val="252525"/>
        </w:rPr>
        <w:t xml:space="preserve">didn’t qualify. It currently </w:t>
      </w:r>
      <w:r w:rsidRPr="00547029">
        <w:rPr>
          <w:color w:val="252525"/>
        </w:rPr>
        <w:t>qualifies unless</w:t>
      </w:r>
      <w:r w:rsidR="00CA1957">
        <w:rPr>
          <w:color w:val="252525"/>
        </w:rPr>
        <w:t xml:space="preserve"> t</w:t>
      </w:r>
      <w:r w:rsidRPr="00547029">
        <w:rPr>
          <w:color w:val="252525"/>
        </w:rPr>
        <w:t>he taxpayer previously used the property</w:t>
      </w:r>
      <w:r w:rsidR="00CA1957">
        <w:rPr>
          <w:color w:val="252525"/>
        </w:rPr>
        <w:t xml:space="preserve"> or unless t</w:t>
      </w:r>
      <w:r w:rsidRPr="00547029">
        <w:rPr>
          <w:color w:val="252525"/>
        </w:rPr>
        <w:t xml:space="preserve">he property was acquired in </w:t>
      </w:r>
      <w:r w:rsidR="00BE3895">
        <w:rPr>
          <w:color w:val="252525"/>
        </w:rPr>
        <w:t>specific</w:t>
      </w:r>
      <w:r w:rsidR="00BE3895" w:rsidRPr="00547029">
        <w:rPr>
          <w:color w:val="252525"/>
        </w:rPr>
        <w:t xml:space="preserve"> </w:t>
      </w:r>
      <w:r w:rsidRPr="00547029">
        <w:rPr>
          <w:color w:val="252525"/>
        </w:rPr>
        <w:t>forbidden transactions</w:t>
      </w:r>
      <w:r w:rsidR="00CA1957">
        <w:rPr>
          <w:color w:val="252525"/>
        </w:rPr>
        <w:t>.</w:t>
      </w:r>
      <w:r w:rsidRPr="00547029">
        <w:rPr>
          <w:color w:val="252525"/>
        </w:rPr>
        <w:t xml:space="preserve"> (</w:t>
      </w:r>
      <w:r w:rsidR="00CA1957">
        <w:rPr>
          <w:color w:val="252525"/>
        </w:rPr>
        <w:t>These are</w:t>
      </w:r>
      <w:r w:rsidR="00BE3895">
        <w:rPr>
          <w:color w:val="252525"/>
        </w:rPr>
        <w:t>,</w:t>
      </w:r>
      <w:r w:rsidR="00CA1957">
        <w:rPr>
          <w:color w:val="252525"/>
        </w:rPr>
        <w:t xml:space="preserve"> </w:t>
      </w:r>
      <w:r w:rsidRPr="00547029">
        <w:rPr>
          <w:color w:val="252525"/>
        </w:rPr>
        <w:t>generally</w:t>
      </w:r>
      <w:r w:rsidR="00BE3895">
        <w:rPr>
          <w:color w:val="252525"/>
        </w:rPr>
        <w:t>,</w:t>
      </w:r>
      <w:r w:rsidRPr="00547029">
        <w:rPr>
          <w:color w:val="252525"/>
        </w:rPr>
        <w:t xml:space="preserve"> acquisitions that are tax</w:t>
      </w:r>
      <w:r w:rsidR="00BE3895">
        <w:rPr>
          <w:color w:val="252525"/>
        </w:rPr>
        <w:t>-</w:t>
      </w:r>
      <w:r w:rsidRPr="00547029">
        <w:rPr>
          <w:color w:val="252525"/>
        </w:rPr>
        <w:t>free or from a related person or entity</w:t>
      </w:r>
      <w:r w:rsidR="00CA1957">
        <w:rPr>
          <w:color w:val="252525"/>
        </w:rPr>
        <w:t>.</w:t>
      </w:r>
      <w:r w:rsidRPr="00547029">
        <w:rPr>
          <w:color w:val="252525"/>
        </w:rPr>
        <w:t>)</w:t>
      </w:r>
    </w:p>
    <w:p w14:paraId="5AF75DF7" w14:textId="5B0FFBF6" w:rsidR="00EF320F" w:rsidRPr="00547029" w:rsidRDefault="00EF320F" w:rsidP="00EF320F">
      <w:pPr>
        <w:pStyle w:val="NormalWeb"/>
        <w:spacing w:before="264" w:beforeAutospacing="0" w:after="264" w:afterAutospacing="0"/>
        <w:rPr>
          <w:color w:val="252525"/>
        </w:rPr>
      </w:pPr>
      <w:r w:rsidRPr="00A10792">
        <w:rPr>
          <w:rStyle w:val="c-doc-para-italic"/>
          <w:b/>
          <w:bCs/>
          <w:color w:val="252525"/>
        </w:rPr>
        <w:t xml:space="preserve">3. Taxpayers should sometimes </w:t>
      </w:r>
      <w:r w:rsidR="00CA1957">
        <w:rPr>
          <w:rStyle w:val="c-doc-para-italic"/>
          <w:b/>
          <w:bCs/>
          <w:color w:val="252525"/>
        </w:rPr>
        <w:t xml:space="preserve">elect to </w:t>
      </w:r>
      <w:r w:rsidRPr="00A10792">
        <w:rPr>
          <w:rStyle w:val="c-doc-para-italic"/>
          <w:b/>
          <w:bCs/>
          <w:color w:val="252525"/>
        </w:rPr>
        <w:t xml:space="preserve">turn </w:t>
      </w:r>
      <w:r w:rsidR="00EE5A02">
        <w:rPr>
          <w:rStyle w:val="c-doc-para-italic"/>
          <w:b/>
          <w:bCs/>
          <w:color w:val="252525"/>
        </w:rPr>
        <w:t xml:space="preserve">it </w:t>
      </w:r>
      <w:r w:rsidRPr="00A10792">
        <w:rPr>
          <w:rStyle w:val="c-doc-para-italic"/>
          <w:b/>
          <w:bCs/>
          <w:color w:val="252525"/>
        </w:rPr>
        <w:t>down</w:t>
      </w:r>
      <w:r w:rsidR="00CA1957">
        <w:rPr>
          <w:rStyle w:val="c-doc-para-italic"/>
          <w:b/>
          <w:bCs/>
          <w:color w:val="252525"/>
        </w:rPr>
        <w:t xml:space="preserve">. </w:t>
      </w:r>
      <w:r w:rsidRPr="00547029">
        <w:rPr>
          <w:color w:val="252525"/>
        </w:rPr>
        <w:t xml:space="preserve">Taxpayers can elect to reject bonus depreciation for one or more classes of property. The election out may be useful </w:t>
      </w:r>
      <w:r w:rsidR="00BE3895">
        <w:rPr>
          <w:color w:val="252525"/>
        </w:rPr>
        <w:t xml:space="preserve">for </w:t>
      </w:r>
      <w:r w:rsidR="0041586A">
        <w:rPr>
          <w:color w:val="252525"/>
        </w:rPr>
        <w:t>certain businesses. These include</w:t>
      </w:r>
      <w:r w:rsidRPr="00547029">
        <w:rPr>
          <w:color w:val="252525"/>
        </w:rPr>
        <w:t xml:space="preserve"> sole proprietorships and business entities taxed under the rules for partnerships and S corporations that want to prevent “wasting” depreciation deductions by applying them against lower-bracket income in the year property was placed in service — instead of against anticipated higher bracket income in later years. Note that business entities taxed as “regular” corporations (in other words, </w:t>
      </w:r>
      <w:r w:rsidR="005312C7">
        <w:rPr>
          <w:color w:val="252525"/>
        </w:rPr>
        <w:t>those</w:t>
      </w:r>
      <w:r w:rsidR="00D34CF7">
        <w:rPr>
          <w:color w:val="252525"/>
        </w:rPr>
        <w:t xml:space="preserve"> that aren’t </w:t>
      </w:r>
      <w:r w:rsidRPr="00547029">
        <w:rPr>
          <w:color w:val="252525"/>
        </w:rPr>
        <w:t>S corporations) are taxed at a flat rate.</w:t>
      </w:r>
    </w:p>
    <w:p w14:paraId="1ADBD16A" w14:textId="699AA31F" w:rsidR="00EF320F" w:rsidRDefault="00EF320F" w:rsidP="00D34CF7">
      <w:pPr>
        <w:pStyle w:val="NormalWeb"/>
        <w:spacing w:before="264" w:beforeAutospacing="0" w:after="264" w:afterAutospacing="0"/>
        <w:rPr>
          <w:color w:val="252525"/>
        </w:rPr>
      </w:pPr>
      <w:r w:rsidRPr="00A10792">
        <w:rPr>
          <w:rStyle w:val="c-doc-para-italic"/>
          <w:b/>
          <w:bCs/>
          <w:color w:val="252525"/>
        </w:rPr>
        <w:t>4. Bonus depreciation is available for certain building improvements</w:t>
      </w:r>
      <w:r w:rsidR="00BF4144">
        <w:rPr>
          <w:rStyle w:val="c-doc-para-italic"/>
          <w:b/>
          <w:bCs/>
          <w:color w:val="252525"/>
        </w:rPr>
        <w:t xml:space="preserve">. </w:t>
      </w:r>
      <w:r w:rsidRPr="00547029">
        <w:rPr>
          <w:color w:val="252525"/>
        </w:rPr>
        <w:t>Before the 2017 Tax Cuts and Jobs Act (TCJA)</w:t>
      </w:r>
      <w:r>
        <w:rPr>
          <w:color w:val="252525"/>
        </w:rPr>
        <w:t>,</w:t>
      </w:r>
      <w:r w:rsidRPr="00547029">
        <w:rPr>
          <w:color w:val="252525"/>
        </w:rPr>
        <w:t xml:space="preserve"> bonus depreciation was available for two types of real property:</w:t>
      </w:r>
      <w:r w:rsidR="00D34CF7">
        <w:rPr>
          <w:color w:val="252525"/>
        </w:rPr>
        <w:t xml:space="preserve"> 1) </w:t>
      </w:r>
      <w:r w:rsidR="00990AB4">
        <w:rPr>
          <w:color w:val="252525"/>
        </w:rPr>
        <w:t>l</w:t>
      </w:r>
      <w:r w:rsidRPr="00547029">
        <w:rPr>
          <w:color w:val="252525"/>
        </w:rPr>
        <w:t xml:space="preserve">and improvements other than buildings, </w:t>
      </w:r>
      <w:r w:rsidR="00E14293">
        <w:rPr>
          <w:color w:val="252525"/>
        </w:rPr>
        <w:t>such as</w:t>
      </w:r>
      <w:r w:rsidRPr="00547029">
        <w:rPr>
          <w:color w:val="252525"/>
        </w:rPr>
        <w:t xml:space="preserve"> fencing and parking lots, and </w:t>
      </w:r>
      <w:r w:rsidR="00D34CF7">
        <w:rPr>
          <w:color w:val="252525"/>
        </w:rPr>
        <w:t xml:space="preserve">2) </w:t>
      </w:r>
      <w:r w:rsidR="00990AB4">
        <w:rPr>
          <w:color w:val="252525"/>
        </w:rPr>
        <w:t>q</w:t>
      </w:r>
      <w:r w:rsidRPr="00A10792">
        <w:rPr>
          <w:color w:val="252525"/>
        </w:rPr>
        <w:t xml:space="preserve">ualified improvement property, a broad category of internal improvements made to non-residential buildings after the buildings are placed in service. </w:t>
      </w:r>
    </w:p>
    <w:p w14:paraId="0290E3F9" w14:textId="26F209A6" w:rsidR="00EF320F" w:rsidRPr="00547029" w:rsidRDefault="00EF320F" w:rsidP="00EF320F">
      <w:pPr>
        <w:pStyle w:val="NormalWeb"/>
        <w:spacing w:before="264" w:beforeAutospacing="0" w:after="264" w:afterAutospacing="0"/>
        <w:rPr>
          <w:color w:val="252525"/>
        </w:rPr>
      </w:pPr>
      <w:r w:rsidRPr="00A10792">
        <w:rPr>
          <w:color w:val="252525"/>
        </w:rPr>
        <w:t xml:space="preserve">The TCJA inadvertently eliminated bonus depreciation for qualified improvement property. </w:t>
      </w:r>
      <w:r w:rsidRPr="00547029">
        <w:rPr>
          <w:color w:val="252525"/>
        </w:rPr>
        <w:t>However, the CARES Act</w:t>
      </w:r>
      <w:r w:rsidR="00D34CF7">
        <w:rPr>
          <w:color w:val="252525"/>
        </w:rPr>
        <w:t xml:space="preserve"> of 2020</w:t>
      </w:r>
      <w:r w:rsidRPr="00547029">
        <w:rPr>
          <w:color w:val="252525"/>
        </w:rPr>
        <w:t xml:space="preserve"> made a retroactive technical correction to the TCJA. The correction makes qualified improvement property placed in service after Dec</w:t>
      </w:r>
      <w:r>
        <w:rPr>
          <w:color w:val="252525"/>
        </w:rPr>
        <w:t>ember</w:t>
      </w:r>
      <w:r w:rsidRPr="00547029">
        <w:rPr>
          <w:color w:val="252525"/>
        </w:rPr>
        <w:t xml:space="preserve"> 31, 2017</w:t>
      </w:r>
      <w:r>
        <w:rPr>
          <w:color w:val="252525"/>
        </w:rPr>
        <w:t>,</w:t>
      </w:r>
      <w:r w:rsidRPr="00547029">
        <w:rPr>
          <w:color w:val="252525"/>
        </w:rPr>
        <w:t xml:space="preserve"> eligible for bonus depreciation.</w:t>
      </w:r>
    </w:p>
    <w:p w14:paraId="35F2503D" w14:textId="5386257F" w:rsidR="00134271" w:rsidRDefault="00EF320F" w:rsidP="00EE5A02">
      <w:pPr>
        <w:pStyle w:val="NormalWeb"/>
        <w:spacing w:before="264" w:beforeAutospacing="0" w:after="264" w:afterAutospacing="0"/>
        <w:rPr>
          <w:color w:val="252525"/>
        </w:rPr>
      </w:pPr>
      <w:r w:rsidRPr="00C55F65">
        <w:rPr>
          <w:rStyle w:val="c-doc-para-italic"/>
          <w:b/>
          <w:bCs/>
          <w:color w:val="252525"/>
        </w:rPr>
        <w:t xml:space="preserve">5. 100% bonus depreciation has reduced the importance of </w:t>
      </w:r>
      <w:r>
        <w:rPr>
          <w:rStyle w:val="c-doc-para-italic"/>
          <w:b/>
          <w:bCs/>
          <w:color w:val="252525"/>
        </w:rPr>
        <w:t>S</w:t>
      </w:r>
      <w:r w:rsidRPr="00C55F65">
        <w:rPr>
          <w:rStyle w:val="c-doc-para-italic"/>
          <w:b/>
          <w:bCs/>
          <w:color w:val="252525"/>
        </w:rPr>
        <w:t>ection 179 expensing</w:t>
      </w:r>
      <w:r w:rsidR="00030E64">
        <w:rPr>
          <w:rStyle w:val="c-doc-para-italic"/>
          <w:b/>
          <w:bCs/>
          <w:color w:val="252525"/>
        </w:rPr>
        <w:t>.</w:t>
      </w:r>
      <w:r w:rsidRPr="00C55F65">
        <w:rPr>
          <w:b/>
          <w:bCs/>
          <w:color w:val="252525"/>
        </w:rPr>
        <w:t> </w:t>
      </w:r>
      <w:r w:rsidRPr="00547029">
        <w:rPr>
          <w:color w:val="252525"/>
        </w:rPr>
        <w:t xml:space="preserve">If you </w:t>
      </w:r>
      <w:r>
        <w:rPr>
          <w:color w:val="252525"/>
        </w:rPr>
        <w:t>own</w:t>
      </w:r>
      <w:r w:rsidRPr="00547029">
        <w:rPr>
          <w:color w:val="252525"/>
        </w:rPr>
        <w:t xml:space="preserve"> a smaller business</w:t>
      </w:r>
      <w:r>
        <w:rPr>
          <w:color w:val="252525"/>
        </w:rPr>
        <w:t>,</w:t>
      </w:r>
      <w:r w:rsidRPr="00547029">
        <w:rPr>
          <w:color w:val="252525"/>
        </w:rPr>
        <w:t xml:space="preserve"> you</w:t>
      </w:r>
      <w:r>
        <w:rPr>
          <w:color w:val="252525"/>
        </w:rPr>
        <w:t>’</w:t>
      </w:r>
      <w:r w:rsidRPr="00547029">
        <w:rPr>
          <w:color w:val="252525"/>
        </w:rPr>
        <w:t xml:space="preserve">ve </w:t>
      </w:r>
      <w:r>
        <w:rPr>
          <w:color w:val="252525"/>
        </w:rPr>
        <w:t>likely</w:t>
      </w:r>
      <w:r w:rsidRPr="00547029">
        <w:rPr>
          <w:color w:val="252525"/>
        </w:rPr>
        <w:t xml:space="preserve"> benefited from </w:t>
      </w:r>
      <w:r>
        <w:rPr>
          <w:color w:val="252525"/>
        </w:rPr>
        <w:t>S</w:t>
      </w:r>
      <w:r w:rsidRPr="00547029">
        <w:rPr>
          <w:color w:val="252525"/>
        </w:rPr>
        <w:t>ec</w:t>
      </w:r>
      <w:r>
        <w:rPr>
          <w:color w:val="252525"/>
        </w:rPr>
        <w:t>.</w:t>
      </w:r>
      <w:r w:rsidRPr="00547029">
        <w:rPr>
          <w:color w:val="252525"/>
        </w:rPr>
        <w:t xml:space="preserve"> 179 expensing. </w:t>
      </w:r>
      <w:r>
        <w:rPr>
          <w:color w:val="252525"/>
        </w:rPr>
        <w:t>This</w:t>
      </w:r>
      <w:r w:rsidRPr="00547029">
        <w:rPr>
          <w:color w:val="252525"/>
        </w:rPr>
        <w:t xml:space="preserve"> is an elective </w:t>
      </w:r>
      <w:r w:rsidRPr="00547029">
        <w:rPr>
          <w:color w:val="252525"/>
        </w:rPr>
        <w:lastRenderedPageBreak/>
        <w:t xml:space="preserve">benefit that </w:t>
      </w:r>
      <w:r>
        <w:rPr>
          <w:color w:val="252525"/>
        </w:rPr>
        <w:t xml:space="preserve">— </w:t>
      </w:r>
      <w:r w:rsidRPr="00547029">
        <w:rPr>
          <w:color w:val="252525"/>
        </w:rPr>
        <w:t>subject to dollar limits</w:t>
      </w:r>
      <w:r>
        <w:rPr>
          <w:color w:val="252525"/>
        </w:rPr>
        <w:t xml:space="preserve"> —</w:t>
      </w:r>
      <w:r w:rsidRPr="00547029">
        <w:rPr>
          <w:color w:val="252525"/>
        </w:rPr>
        <w:t xml:space="preserve"> allows an immediate deduction of the cost of equipment, machinery, off-the-shelf computer software and some building improvements. Sec</w:t>
      </w:r>
      <w:r>
        <w:rPr>
          <w:color w:val="252525"/>
        </w:rPr>
        <w:t>.</w:t>
      </w:r>
      <w:r w:rsidRPr="00547029">
        <w:rPr>
          <w:color w:val="252525"/>
        </w:rPr>
        <w:t xml:space="preserve"> 179 has been enhanced by the TCJA, but the availability of 100% bonus depreciation is economically equivalent and has greatly reduced the cases in which </w:t>
      </w:r>
      <w:r>
        <w:rPr>
          <w:color w:val="252525"/>
        </w:rPr>
        <w:t>S</w:t>
      </w:r>
      <w:r w:rsidRPr="00547029">
        <w:rPr>
          <w:color w:val="252525"/>
        </w:rPr>
        <w:t>ec</w:t>
      </w:r>
      <w:r>
        <w:rPr>
          <w:color w:val="252525"/>
        </w:rPr>
        <w:t>.</w:t>
      </w:r>
      <w:r w:rsidRPr="00547029">
        <w:rPr>
          <w:color w:val="252525"/>
        </w:rPr>
        <w:t xml:space="preserve"> 179 expensing is useful.</w:t>
      </w:r>
    </w:p>
    <w:p w14:paraId="5C5955E6" w14:textId="347EB6A4" w:rsidR="00CA6C05" w:rsidRPr="00CD07A6" w:rsidRDefault="00CA6C05" w:rsidP="00EE5A02">
      <w:pPr>
        <w:pStyle w:val="NormalWeb"/>
        <w:spacing w:before="264" w:beforeAutospacing="0" w:after="264" w:afterAutospacing="0"/>
        <w:rPr>
          <w:color w:val="252525"/>
        </w:rPr>
      </w:pPr>
      <w:r>
        <w:rPr>
          <w:color w:val="252525"/>
        </w:rPr>
        <w:t xml:space="preserve">© </w:t>
      </w:r>
      <w:r w:rsidRPr="00CA6C05">
        <w:rPr>
          <w:i/>
          <w:iCs/>
          <w:color w:val="252525"/>
        </w:rPr>
        <w:t>2021</w:t>
      </w:r>
    </w:p>
    <w:sectPr w:rsidR="00CA6C05" w:rsidRPr="00CD0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A03B6"/>
    <w:multiLevelType w:val="hybridMultilevel"/>
    <w:tmpl w:val="14149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C12D4"/>
    <w:multiLevelType w:val="hybridMultilevel"/>
    <w:tmpl w:val="E5241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0F"/>
    <w:rsid w:val="00030E64"/>
    <w:rsid w:val="00053ABF"/>
    <w:rsid w:val="00134271"/>
    <w:rsid w:val="001F0C60"/>
    <w:rsid w:val="002241D8"/>
    <w:rsid w:val="003101ED"/>
    <w:rsid w:val="003B7169"/>
    <w:rsid w:val="0041586A"/>
    <w:rsid w:val="0051100A"/>
    <w:rsid w:val="005312C7"/>
    <w:rsid w:val="0057562D"/>
    <w:rsid w:val="005B4230"/>
    <w:rsid w:val="005B5BDD"/>
    <w:rsid w:val="00624E54"/>
    <w:rsid w:val="00693366"/>
    <w:rsid w:val="007115FD"/>
    <w:rsid w:val="00791166"/>
    <w:rsid w:val="00820C8E"/>
    <w:rsid w:val="00926885"/>
    <w:rsid w:val="00990AB4"/>
    <w:rsid w:val="009E68DC"/>
    <w:rsid w:val="00A6065D"/>
    <w:rsid w:val="00B34B34"/>
    <w:rsid w:val="00BE3895"/>
    <w:rsid w:val="00BE39EA"/>
    <w:rsid w:val="00BF4144"/>
    <w:rsid w:val="00C378EC"/>
    <w:rsid w:val="00CA1957"/>
    <w:rsid w:val="00CA6C05"/>
    <w:rsid w:val="00CD07A6"/>
    <w:rsid w:val="00D34CF7"/>
    <w:rsid w:val="00D5606C"/>
    <w:rsid w:val="00DC616B"/>
    <w:rsid w:val="00E14293"/>
    <w:rsid w:val="00EE5A02"/>
    <w:rsid w:val="00EF320F"/>
    <w:rsid w:val="00FA448D"/>
    <w:rsid w:val="00FC0937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16EEC"/>
  <w15:chartTrackingRefBased/>
  <w15:docId w15:val="{7A961AA0-23A3-4D22-9E4D-26AC0719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320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-doc-para-italic">
    <w:name w:val="c-doc-para-italic"/>
    <w:basedOn w:val="DefaultParagraphFont"/>
    <w:rsid w:val="00EF320F"/>
  </w:style>
  <w:style w:type="character" w:styleId="CommentReference">
    <w:name w:val="annotation reference"/>
    <w:basedOn w:val="DefaultParagraphFont"/>
    <w:uiPriority w:val="99"/>
    <w:semiHidden/>
    <w:unhideWhenUsed/>
    <w:rsid w:val="00E14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29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29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2788E-DA81-4696-970F-55D0F0DD2D86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5780ff4a-8397-4f78-a7bb-31364ea346f1"/>
    <ds:schemaRef ds:uri="3f3b3382-7005-45e0-adac-ca66d19e4502"/>
  </ds:schemaRefs>
</ds:datastoreItem>
</file>

<file path=customXml/itemProps2.xml><?xml version="1.0" encoding="utf-8"?>
<ds:datastoreItem xmlns:ds="http://schemas.openxmlformats.org/officeDocument/2006/customXml" ds:itemID="{635F3D4B-0884-4791-8243-EBF1F969C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DCF82-0101-45EC-9476-17ADDA243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7</cp:revision>
  <dcterms:created xsi:type="dcterms:W3CDTF">2021-06-14T22:09:00Z</dcterms:created>
  <dcterms:modified xsi:type="dcterms:W3CDTF">2021-06-14T22:20:00Z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